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>
          <w:w w:val="105"/>
        </w:rPr>
        <w:t>Annexure-</w:t>
      </w:r>
      <w:r>
        <w:rPr>
          <w:spacing w:val="-10"/>
          <w:w w:val="110"/>
        </w:rPr>
        <w:t>4</w:t>
      </w:r>
    </w:p>
    <w:p>
      <w:pPr>
        <w:spacing w:line="225" w:lineRule="auto" w:before="177"/>
        <w:ind w:left="360" w:right="224" w:firstLine="0"/>
        <w:jc w:val="both"/>
        <w:rPr>
          <w:rFonts w:ascii="Calibri"/>
          <w:b/>
          <w:sz w:val="24"/>
        </w:rPr>
      </w:pPr>
      <w:r>
        <w:rPr>
          <w:rFonts w:ascii="Calibri"/>
          <w:b/>
          <w:w w:val="105"/>
          <w:sz w:val="24"/>
        </w:rPr>
        <w:t>Declaration by Category I/II Alternate Investment Fund (AIF) registered with SEBI holding </w:t>
      </w:r>
      <w:r>
        <w:rPr>
          <w:rFonts w:ascii="Calibri"/>
          <w:b/>
          <w:sz w:val="24"/>
        </w:rPr>
        <w:t>registration and declaring dividend income is not chargeable under the head 'Profit and Gains </w:t>
      </w:r>
      <w:r>
        <w:rPr>
          <w:rFonts w:ascii="Calibri"/>
          <w:b/>
          <w:w w:val="105"/>
          <w:sz w:val="24"/>
        </w:rPr>
        <w:t>of</w:t>
      </w:r>
      <w:r>
        <w:rPr>
          <w:rFonts w:ascii="Calibri"/>
          <w:b/>
          <w:spacing w:val="-7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Business</w:t>
      </w:r>
      <w:r>
        <w:rPr>
          <w:rFonts w:ascii="Calibri"/>
          <w:b/>
          <w:spacing w:val="-6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or</w:t>
      </w:r>
      <w:r>
        <w:rPr>
          <w:rFonts w:ascii="Calibri"/>
          <w:b/>
          <w:spacing w:val="-9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Profession'</w:t>
      </w:r>
      <w:r>
        <w:rPr>
          <w:rFonts w:ascii="Calibri"/>
          <w:b/>
          <w:spacing w:val="-6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and</w:t>
      </w:r>
      <w:r>
        <w:rPr>
          <w:rFonts w:ascii="Calibri"/>
          <w:b/>
          <w:spacing w:val="-6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qualifies</w:t>
      </w:r>
      <w:r>
        <w:rPr>
          <w:rFonts w:ascii="Calibri"/>
          <w:b/>
          <w:spacing w:val="-9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for</w:t>
      </w:r>
      <w:r>
        <w:rPr>
          <w:rFonts w:ascii="Calibri"/>
          <w:b/>
          <w:spacing w:val="-7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exemption</w:t>
      </w:r>
      <w:r>
        <w:rPr>
          <w:rFonts w:ascii="Calibri"/>
          <w:b/>
          <w:spacing w:val="-3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under</w:t>
      </w:r>
      <w:r>
        <w:rPr>
          <w:rFonts w:ascii="Calibri"/>
          <w:b/>
          <w:spacing w:val="-6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Schedule</w:t>
      </w:r>
      <w:r>
        <w:rPr>
          <w:rFonts w:ascii="Calibri"/>
          <w:b/>
          <w:spacing w:val="-8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V</w:t>
      </w:r>
      <w:r>
        <w:rPr>
          <w:rFonts w:ascii="Calibri"/>
          <w:b/>
          <w:spacing w:val="-6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(Table:</w:t>
      </w:r>
      <w:r>
        <w:rPr>
          <w:rFonts w:ascii="Calibri"/>
          <w:b/>
          <w:spacing w:val="-6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Sl.</w:t>
      </w:r>
      <w:r>
        <w:rPr>
          <w:rFonts w:ascii="Calibri"/>
          <w:b/>
          <w:spacing w:val="-6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No</w:t>
      </w:r>
      <w:r>
        <w:rPr>
          <w:rFonts w:ascii="Calibri"/>
          <w:b/>
          <w:spacing w:val="-10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1)</w:t>
      </w:r>
    </w:p>
    <w:p>
      <w:pPr>
        <w:pStyle w:val="BodyText"/>
        <w:spacing w:before="146"/>
        <w:ind w:left="0"/>
        <w:rPr>
          <w:rFonts w:ascii="Calibri"/>
          <w:b/>
          <w:sz w:val="24"/>
        </w:rPr>
      </w:pPr>
    </w:p>
    <w:p>
      <w:pPr>
        <w:spacing w:before="0"/>
        <w:ind w:left="27" w:right="0" w:firstLine="0"/>
        <w:jc w:val="center"/>
        <w:rPr>
          <w:rFonts w:ascii="Calibri"/>
          <w:b/>
          <w:i/>
          <w:sz w:val="23"/>
        </w:rPr>
      </w:pPr>
      <w:r>
        <w:rPr>
          <w:rFonts w:ascii="Calibri"/>
          <w:b/>
          <w:i/>
          <w:spacing w:val="-2"/>
          <w:sz w:val="23"/>
        </w:rPr>
        <w:t>&lt;on</w:t>
      </w:r>
      <w:r>
        <w:rPr>
          <w:rFonts w:ascii="Calibri"/>
          <w:b/>
          <w:i/>
          <w:spacing w:val="-11"/>
          <w:sz w:val="23"/>
        </w:rPr>
        <w:t> </w:t>
      </w:r>
      <w:r>
        <w:rPr>
          <w:rFonts w:ascii="Calibri"/>
          <w:b/>
          <w:i/>
          <w:spacing w:val="-2"/>
          <w:sz w:val="23"/>
        </w:rPr>
        <w:t>letter</w:t>
      </w:r>
      <w:r>
        <w:rPr>
          <w:rFonts w:ascii="Calibri"/>
          <w:b/>
          <w:i/>
          <w:spacing w:val="-9"/>
          <w:sz w:val="23"/>
        </w:rPr>
        <w:t> </w:t>
      </w:r>
      <w:r>
        <w:rPr>
          <w:rFonts w:ascii="Calibri"/>
          <w:b/>
          <w:i/>
          <w:spacing w:val="-2"/>
          <w:sz w:val="23"/>
        </w:rPr>
        <w:t>head</w:t>
      </w:r>
      <w:r>
        <w:rPr>
          <w:rFonts w:ascii="Calibri"/>
          <w:b/>
          <w:i/>
          <w:spacing w:val="-8"/>
          <w:sz w:val="23"/>
        </w:rPr>
        <w:t> </w:t>
      </w:r>
      <w:r>
        <w:rPr>
          <w:rFonts w:ascii="Calibri"/>
          <w:b/>
          <w:i/>
          <w:spacing w:val="-2"/>
          <w:sz w:val="23"/>
        </w:rPr>
        <w:t>of</w:t>
      </w:r>
      <w:r>
        <w:rPr>
          <w:rFonts w:ascii="Calibri"/>
          <w:b/>
          <w:i/>
          <w:spacing w:val="-10"/>
          <w:sz w:val="23"/>
        </w:rPr>
        <w:t> </w:t>
      </w:r>
      <w:r>
        <w:rPr>
          <w:rFonts w:ascii="Calibri"/>
          <w:b/>
          <w:i/>
          <w:spacing w:val="-2"/>
          <w:sz w:val="23"/>
        </w:rPr>
        <w:t>the</w:t>
      </w:r>
      <w:r>
        <w:rPr>
          <w:rFonts w:ascii="Calibri"/>
          <w:b/>
          <w:i/>
          <w:spacing w:val="-9"/>
          <w:sz w:val="23"/>
        </w:rPr>
        <w:t> </w:t>
      </w:r>
      <w:r>
        <w:rPr>
          <w:rFonts w:ascii="Calibri"/>
          <w:b/>
          <w:i/>
          <w:spacing w:val="-2"/>
          <w:sz w:val="23"/>
        </w:rPr>
        <w:t>shareholder&gt;</w:t>
      </w:r>
    </w:p>
    <w:p>
      <w:pPr>
        <w:pStyle w:val="BodyText"/>
        <w:tabs>
          <w:tab w:pos="1481" w:val="left" w:leader="none"/>
        </w:tabs>
        <w:spacing w:before="253"/>
      </w:pPr>
      <w:r>
        <w:rPr>
          <w:w w:val="95"/>
        </w:rPr>
        <w:t>Date: </w:t>
      </w:r>
      <w:r>
        <w:rPr>
          <w:u w:val="single"/>
        </w:rPr>
        <w:tab/>
      </w:r>
    </w:p>
    <w:p>
      <w:pPr>
        <w:pStyle w:val="Heading1"/>
      </w:pP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WHOM</w:t>
      </w:r>
      <w:r>
        <w:rPr>
          <w:spacing w:val="3"/>
          <w:w w:val="115"/>
        </w:rPr>
        <w:t> </w:t>
      </w:r>
      <w:r>
        <w:rPr>
          <w:w w:val="115"/>
        </w:rPr>
        <w:t>SO EVER</w:t>
      </w:r>
      <w:r>
        <w:rPr>
          <w:spacing w:val="1"/>
          <w:w w:val="115"/>
        </w:rPr>
        <w:t> </w:t>
      </w:r>
      <w:r>
        <w:rPr>
          <w:w w:val="115"/>
        </w:rPr>
        <w:t>IT</w:t>
      </w:r>
      <w:r>
        <w:rPr>
          <w:spacing w:val="1"/>
          <w:w w:val="115"/>
        </w:rPr>
        <w:t> </w:t>
      </w:r>
      <w:r>
        <w:rPr>
          <w:w w:val="115"/>
        </w:rPr>
        <w:t>MAY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CONCERN</w:t>
      </w:r>
    </w:p>
    <w:p>
      <w:pPr>
        <w:pStyle w:val="BodyText"/>
        <w:spacing w:before="257"/>
      </w:pPr>
      <w:r>
        <w:rPr>
          <w:w w:val="90"/>
        </w:rPr>
        <w:t>Dear</w:t>
      </w:r>
      <w:r>
        <w:rPr>
          <w:spacing w:val="-6"/>
          <w:w w:val="90"/>
        </w:rPr>
        <w:t> </w:t>
      </w:r>
      <w:r>
        <w:rPr>
          <w:spacing w:val="-4"/>
        </w:rPr>
        <w:t>Sir,</w:t>
      </w:r>
    </w:p>
    <w:p>
      <w:pPr>
        <w:pStyle w:val="Heading3"/>
        <w:rPr>
          <w:u w:val="none"/>
        </w:rPr>
      </w:pPr>
      <w:r>
        <w:rPr>
          <w:w w:val="105"/>
          <w:u w:val="single"/>
        </w:rPr>
        <w:t>Sub:</w:t>
      </w:r>
      <w:r>
        <w:rPr>
          <w:spacing w:val="-14"/>
          <w:w w:val="105"/>
          <w:u w:val="single"/>
        </w:rPr>
        <w:t> </w:t>
      </w:r>
      <w:r>
        <w:rPr>
          <w:w w:val="105"/>
          <w:u w:val="single"/>
        </w:rPr>
        <w:t>Declaration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with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regards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dividend</w:t>
      </w:r>
      <w:r>
        <w:rPr>
          <w:spacing w:val="-13"/>
          <w:w w:val="105"/>
          <w:u w:val="single"/>
        </w:rPr>
        <w:t> </w:t>
      </w:r>
      <w:r>
        <w:rPr>
          <w:spacing w:val="-2"/>
          <w:w w:val="105"/>
          <w:u w:val="single"/>
        </w:rPr>
        <w:t>income.</w:t>
      </w:r>
    </w:p>
    <w:p>
      <w:pPr>
        <w:pStyle w:val="BodyText"/>
        <w:spacing w:before="241"/>
        <w:ind w:right="231"/>
        <w:jc w:val="both"/>
      </w:pPr>
      <w:r>
        <w:rPr>
          <w:w w:val="90"/>
        </w:rPr>
        <w:t>For the purpose of determination of Income-tax TDS liability under Income Tax Act 2025, we hereby certify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33"/>
        <w:ind w:left="0"/>
        <w:rPr>
          <w:sz w:val="20"/>
        </w:rPr>
      </w:pPr>
    </w:p>
    <w:tbl>
      <w:tblPr>
        <w:tblW w:w="0" w:type="auto"/>
        <w:jc w:val="left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7"/>
        <w:gridCol w:w="5233"/>
      </w:tblGrid>
      <w:tr>
        <w:trPr>
          <w:trHeight w:val="267" w:hRule="atLeast"/>
        </w:trPr>
        <w:tc>
          <w:tcPr>
            <w:tcW w:w="4177" w:type="dxa"/>
          </w:tcPr>
          <w:p>
            <w:pPr>
              <w:pStyle w:val="TableParagraph"/>
              <w:spacing w:line="248" w:lineRule="exact"/>
              <w:ind w:left="109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Nature</w:t>
            </w:r>
            <w:r>
              <w:rPr>
                <w:rFonts w:ascii="Calibri"/>
                <w:b/>
                <w:spacing w:val="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information</w:t>
            </w:r>
          </w:p>
        </w:tc>
        <w:tc>
          <w:tcPr>
            <w:tcW w:w="5233" w:type="dxa"/>
          </w:tcPr>
          <w:p>
            <w:pPr>
              <w:pStyle w:val="TableParagraph"/>
              <w:spacing w:line="248" w:lineRule="exact"/>
              <w:ind w:lef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105"/>
                <w:sz w:val="22"/>
              </w:rPr>
              <w:t>Details</w:t>
            </w:r>
          </w:p>
        </w:tc>
      </w:tr>
      <w:tr>
        <w:trPr>
          <w:trHeight w:val="268" w:hRule="atLeast"/>
        </w:trPr>
        <w:tc>
          <w:tcPr>
            <w:tcW w:w="4177" w:type="dxa"/>
          </w:tcPr>
          <w:p>
            <w:pPr>
              <w:pStyle w:val="TableParagraph"/>
              <w:spacing w:line="247" w:lineRule="exact"/>
              <w:ind w:left="126"/>
              <w:rPr>
                <w:sz w:val="22"/>
              </w:rPr>
            </w:pPr>
            <w:r>
              <w:rPr>
                <w:w w:val="90"/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Shareholder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77" w:type="dxa"/>
          </w:tcPr>
          <w:p>
            <w:pPr>
              <w:pStyle w:val="TableParagraph"/>
              <w:spacing w:line="243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177" w:type="dxa"/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pacing w:val="-5"/>
                <w:sz w:val="22"/>
              </w:rPr>
              <w:t>Contact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177" w:type="dxa"/>
          </w:tcPr>
          <w:p>
            <w:pPr>
              <w:pStyle w:val="TableParagraph"/>
              <w:spacing w:line="246" w:lineRule="exact"/>
              <w:ind w:left="126"/>
              <w:rPr>
                <w:sz w:val="22"/>
              </w:rPr>
            </w:pPr>
            <w:r>
              <w:rPr>
                <w:spacing w:val="-5"/>
                <w:sz w:val="22"/>
              </w:rPr>
              <w:t>PAN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tabs>
          <w:tab w:pos="2673" w:val="left" w:leader="none"/>
        </w:tabs>
        <w:spacing w:before="249"/>
        <w:ind w:right="222"/>
        <w:jc w:val="both"/>
      </w:pPr>
      <w:r>
        <w:rPr>
          <w:spacing w:val="-2"/>
        </w:rPr>
        <w:t>We</w:t>
      </w:r>
      <w:r>
        <w:rPr>
          <w:spacing w:val="-8"/>
        </w:rPr>
        <w:t> </w:t>
      </w:r>
      <w:r>
        <w:rPr>
          <w:spacing w:val="-2"/>
        </w:rPr>
        <w:t>declare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we</w:t>
      </w:r>
      <w:r>
        <w:rPr>
          <w:spacing w:val="-8"/>
        </w:rPr>
        <w:t> </w:t>
      </w:r>
      <w:r>
        <w:rPr>
          <w:spacing w:val="-2"/>
        </w:rPr>
        <w:t>are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Category</w:t>
      </w:r>
      <w:r>
        <w:rPr>
          <w:spacing w:val="-7"/>
        </w:rPr>
        <w:t> </w:t>
      </w:r>
      <w:r>
        <w:rPr>
          <w:spacing w:val="-2"/>
        </w:rPr>
        <w:t>I/II</w:t>
      </w:r>
      <w:r>
        <w:rPr>
          <w:spacing w:val="-7"/>
        </w:rPr>
        <w:t> </w:t>
      </w:r>
      <w:r>
        <w:rPr>
          <w:spacing w:val="-2"/>
        </w:rPr>
        <w:t>Alternate</w:t>
      </w:r>
      <w:r>
        <w:rPr>
          <w:spacing w:val="-8"/>
        </w:rPr>
        <w:t> </w:t>
      </w:r>
      <w:r>
        <w:rPr>
          <w:spacing w:val="-2"/>
        </w:rPr>
        <w:t>Investment</w:t>
      </w:r>
      <w:r>
        <w:rPr>
          <w:spacing w:val="-6"/>
        </w:rPr>
        <w:t> </w:t>
      </w:r>
      <w:r>
        <w:rPr>
          <w:spacing w:val="-2"/>
        </w:rPr>
        <w:t>Fund</w:t>
      </w:r>
      <w:r>
        <w:rPr>
          <w:spacing w:val="-7"/>
        </w:rPr>
        <w:t> </w:t>
      </w:r>
      <w:r>
        <w:rPr>
          <w:spacing w:val="-2"/>
        </w:rPr>
        <w:t>(AIF)</w:t>
      </w:r>
      <w:r>
        <w:rPr>
          <w:spacing w:val="-8"/>
        </w:rPr>
        <w:t> </w:t>
      </w:r>
      <w:r>
        <w:rPr>
          <w:spacing w:val="-2"/>
        </w:rPr>
        <w:t>registered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SEBI</w:t>
      </w:r>
      <w:r>
        <w:rPr>
          <w:spacing w:val="-7"/>
        </w:rPr>
        <w:t> </w:t>
      </w:r>
      <w:r>
        <w:rPr>
          <w:spacing w:val="-2"/>
        </w:rPr>
        <w:t>holding </w:t>
      </w:r>
      <w:r>
        <w:rPr/>
        <w:t>registration no </w:t>
      </w:r>
      <w:r>
        <w:rPr>
          <w:w w:val="85"/>
        </w:rPr>
        <w:t>&lt;&lt;</w:t>
      </w:r>
      <w:r>
        <w:rPr>
          <w:u w:val="single"/>
        </w:rPr>
        <w:tab/>
      </w:r>
      <w:r>
        <w:rPr>
          <w:w w:val="85"/>
        </w:rPr>
        <w:t>&gt;&gt; </w:t>
      </w:r>
      <w:r>
        <w:rPr>
          <w:w w:val="90"/>
        </w:rPr>
        <w:t>and our dividend income is not chargeable under the head 'Profit and Gains of Business</w:t>
      </w:r>
      <w:r>
        <w:rPr>
          <w:spacing w:val="-5"/>
          <w:w w:val="90"/>
        </w:rPr>
        <w:t> </w:t>
      </w:r>
      <w:r>
        <w:rPr>
          <w:w w:val="90"/>
        </w:rPr>
        <w:t>or</w:t>
      </w:r>
      <w:r>
        <w:rPr>
          <w:spacing w:val="-5"/>
          <w:w w:val="90"/>
        </w:rPr>
        <w:t> </w:t>
      </w:r>
      <w:r>
        <w:rPr>
          <w:w w:val="90"/>
        </w:rPr>
        <w:t>Profession'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FY</w:t>
      </w:r>
      <w:r>
        <w:rPr>
          <w:spacing w:val="-5"/>
          <w:w w:val="90"/>
        </w:rPr>
        <w:t> </w:t>
      </w:r>
      <w:r>
        <w:rPr>
          <w:w w:val="90"/>
        </w:rPr>
        <w:t>2026-27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qualifies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exemption</w:t>
      </w:r>
      <w:r>
        <w:rPr>
          <w:spacing w:val="-3"/>
          <w:w w:val="90"/>
        </w:rPr>
        <w:t> </w:t>
      </w:r>
      <w:r>
        <w:rPr>
          <w:w w:val="90"/>
        </w:rPr>
        <w:t>Schedule</w:t>
      </w:r>
      <w:r>
        <w:rPr>
          <w:spacing w:val="-6"/>
          <w:w w:val="90"/>
        </w:rPr>
        <w:t> </w:t>
      </w:r>
      <w:r>
        <w:rPr>
          <w:w w:val="90"/>
        </w:rPr>
        <w:t>V</w:t>
      </w:r>
      <w:r>
        <w:rPr>
          <w:spacing w:val="-5"/>
          <w:w w:val="90"/>
        </w:rPr>
        <w:t> </w:t>
      </w:r>
      <w:r>
        <w:rPr>
          <w:w w:val="90"/>
        </w:rPr>
        <w:t>(Table:</w:t>
      </w:r>
      <w:r>
        <w:rPr>
          <w:spacing w:val="-5"/>
          <w:w w:val="90"/>
        </w:rPr>
        <w:t> </w:t>
      </w:r>
      <w:r>
        <w:rPr>
          <w:w w:val="90"/>
        </w:rPr>
        <w:t>Sl.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1).</w:t>
      </w:r>
      <w:r>
        <w:rPr>
          <w:spacing w:val="-5"/>
          <w:w w:val="90"/>
        </w:rPr>
        <w:t> </w:t>
      </w:r>
      <w:r>
        <w:rPr>
          <w:w w:val="90"/>
        </w:rPr>
        <w:t>Therefore, </w:t>
      </w:r>
      <w:r>
        <w:rPr>
          <w:spacing w:val="-6"/>
        </w:rPr>
        <w:t>we</w:t>
      </w:r>
      <w:r>
        <w:rPr>
          <w:spacing w:val="-8"/>
        </w:rPr>
        <w:t> </w:t>
      </w:r>
      <w:r>
        <w:rPr>
          <w:spacing w:val="-6"/>
        </w:rPr>
        <w:t>are</w:t>
      </w:r>
      <w:r>
        <w:rPr>
          <w:spacing w:val="-7"/>
        </w:rPr>
        <w:t> </w:t>
      </w:r>
      <w:r>
        <w:rPr>
          <w:spacing w:val="-6"/>
        </w:rPr>
        <w:t>eligible for</w:t>
      </w:r>
      <w:r>
        <w:rPr>
          <w:spacing w:val="-7"/>
        </w:rPr>
        <w:t> </w:t>
      </w:r>
      <w:r>
        <w:rPr>
          <w:spacing w:val="-6"/>
        </w:rPr>
        <w:t>exemption from</w:t>
      </w:r>
      <w:r>
        <w:rPr>
          <w:spacing w:val="-7"/>
        </w:rPr>
        <w:t> </w:t>
      </w:r>
      <w:r>
        <w:rPr>
          <w:spacing w:val="-6"/>
        </w:rPr>
        <w:t>withholding</w:t>
      </w:r>
      <w:r>
        <w:rPr>
          <w:spacing w:val="-8"/>
        </w:rPr>
        <w:t> </w:t>
      </w:r>
      <w:r>
        <w:rPr>
          <w:spacing w:val="-6"/>
        </w:rPr>
        <w:t>taxes</w:t>
      </w:r>
      <w:r>
        <w:rPr>
          <w:spacing w:val="-9"/>
        </w:rPr>
        <w:t> </w:t>
      </w:r>
      <w:r>
        <w:rPr>
          <w:spacing w:val="-6"/>
        </w:rPr>
        <w:t>under the</w:t>
      </w:r>
      <w:r>
        <w:rPr>
          <w:spacing w:val="-7"/>
        </w:rPr>
        <w:t> </w:t>
      </w:r>
      <w:r>
        <w:rPr>
          <w:spacing w:val="-6"/>
        </w:rPr>
        <w:t>Income Tax</w:t>
      </w:r>
      <w:r>
        <w:rPr>
          <w:spacing w:val="-8"/>
        </w:rPr>
        <w:t> </w:t>
      </w:r>
      <w:r>
        <w:rPr>
          <w:spacing w:val="-6"/>
        </w:rPr>
        <w:t>Act,</w:t>
      </w:r>
      <w:r>
        <w:rPr>
          <w:spacing w:val="-9"/>
        </w:rPr>
        <w:t> </w:t>
      </w:r>
      <w:r>
        <w:rPr>
          <w:spacing w:val="-6"/>
        </w:rPr>
        <w:t>2025</w:t>
      </w:r>
      <w:r>
        <w:rPr>
          <w:spacing w:val="-7"/>
        </w:rPr>
        <w:t> </w:t>
      </w:r>
      <w:r>
        <w:rPr>
          <w:spacing w:val="-6"/>
        </w:rPr>
        <w:t>(the Act).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  <w:jc w:val="both"/>
      </w:pPr>
      <w:r>
        <w:rPr>
          <w:w w:val="90"/>
        </w:rPr>
        <w:t>Further,</w:t>
      </w:r>
      <w:r>
        <w:rPr>
          <w:spacing w:val="2"/>
        </w:rPr>
        <w:t> </w:t>
      </w:r>
      <w:r>
        <w:rPr>
          <w:w w:val="90"/>
        </w:rPr>
        <w:t>we</w:t>
      </w:r>
      <w:r>
        <w:rPr>
          <w:spacing w:val="3"/>
        </w:rPr>
        <w:t> </w:t>
      </w:r>
      <w:r>
        <w:rPr>
          <w:w w:val="90"/>
        </w:rPr>
        <w:t>have</w:t>
      </w:r>
      <w:r>
        <w:rPr>
          <w:spacing w:val="2"/>
        </w:rPr>
        <w:t> </w:t>
      </w:r>
      <w:r>
        <w:rPr>
          <w:w w:val="90"/>
        </w:rPr>
        <w:t>attached</w:t>
      </w:r>
      <w:r>
        <w:rPr>
          <w:spacing w:val="1"/>
        </w:rPr>
        <w:t> </w:t>
      </w:r>
      <w:r>
        <w:rPr>
          <w:w w:val="90"/>
        </w:rPr>
        <w:t>the</w:t>
      </w:r>
      <w:r>
        <w:rPr>
          <w:spacing w:val="3"/>
        </w:rPr>
        <w:t> </w:t>
      </w:r>
      <w:r>
        <w:rPr>
          <w:w w:val="90"/>
        </w:rPr>
        <w:t>certificate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2"/>
        </w:rPr>
        <w:t> </w:t>
      </w:r>
      <w:r>
        <w:rPr>
          <w:w w:val="90"/>
        </w:rPr>
        <w:t>registration</w:t>
      </w:r>
      <w:r>
        <w:rPr>
          <w:spacing w:val="4"/>
        </w:rPr>
        <w:t> </w:t>
      </w:r>
      <w:r>
        <w:rPr>
          <w:w w:val="90"/>
        </w:rPr>
        <w:t>of</w:t>
      </w:r>
      <w:r>
        <w:rPr>
          <w:spacing w:val="2"/>
        </w:rPr>
        <w:t> </w:t>
      </w:r>
      <w:r>
        <w:rPr>
          <w:w w:val="90"/>
        </w:rPr>
        <w:t>the</w:t>
      </w:r>
      <w:r>
        <w:rPr>
          <w:spacing w:val="1"/>
        </w:rPr>
        <w:t> </w:t>
      </w:r>
      <w:r>
        <w:rPr>
          <w:w w:val="90"/>
        </w:rPr>
        <w:t>AIF</w:t>
      </w:r>
      <w:r>
        <w:rPr>
          <w:spacing w:val="2"/>
        </w:rPr>
        <w:t> </w:t>
      </w:r>
      <w:r>
        <w:rPr>
          <w:w w:val="90"/>
        </w:rPr>
        <w:t>with</w:t>
      </w:r>
      <w:r>
        <w:rPr>
          <w:spacing w:val="2"/>
        </w:rPr>
        <w:t> </w:t>
      </w:r>
      <w:r>
        <w:rPr>
          <w:spacing w:val="-4"/>
          <w:w w:val="90"/>
        </w:rPr>
        <w:t>SEBI.</w:t>
      </w:r>
    </w:p>
    <w:p>
      <w:pPr>
        <w:pStyle w:val="BodyText"/>
        <w:spacing w:before="3"/>
        <w:ind w:left="0"/>
      </w:pPr>
    </w:p>
    <w:p>
      <w:pPr>
        <w:pStyle w:val="BodyText"/>
        <w:spacing w:line="249" w:lineRule="auto" w:before="1"/>
        <w:ind w:right="223"/>
        <w:jc w:val="both"/>
      </w:pPr>
      <w:r>
        <w:rPr>
          <w:w w:val="90"/>
        </w:rPr>
        <w:t>In this connection, we also certify that the above made declaration applies to all DP ID &amp; client ID linked the PAN</w:t>
      </w:r>
      <w:r>
        <w:rPr>
          <w:spacing w:val="-8"/>
          <w:w w:val="90"/>
        </w:rPr>
        <w:t> </w:t>
      </w:r>
      <w:r>
        <w:rPr>
          <w:w w:val="85"/>
        </w:rPr>
        <w:t>&lt;</w:t>
      </w:r>
      <w:r>
        <w:rPr>
          <w:rFonts w:ascii="Calibri"/>
          <w:i/>
          <w:w w:val="85"/>
        </w:rPr>
        <w:t>&lt;</w:t>
      </w:r>
      <w:r>
        <w:rPr>
          <w:rFonts w:ascii="Calibri"/>
          <w:i/>
          <w:spacing w:val="-9"/>
          <w:w w:val="85"/>
        </w:rPr>
        <w:t> </w:t>
      </w:r>
      <w:r>
        <w:rPr>
          <w:rFonts w:ascii="Calibri"/>
          <w:i/>
          <w:w w:val="90"/>
        </w:rPr>
        <w:t>PAN</w:t>
      </w:r>
      <w:r>
        <w:rPr>
          <w:rFonts w:ascii="Calibri"/>
          <w:i/>
          <w:spacing w:val="-9"/>
          <w:w w:val="90"/>
        </w:rPr>
        <w:t> </w:t>
      </w:r>
      <w:r>
        <w:rPr>
          <w:rFonts w:ascii="Calibri"/>
          <w:i/>
          <w:w w:val="90"/>
        </w:rPr>
        <w:t>of</w:t>
      </w:r>
      <w:r>
        <w:rPr>
          <w:rFonts w:ascii="Calibri"/>
          <w:i/>
          <w:spacing w:val="-9"/>
          <w:w w:val="90"/>
        </w:rPr>
        <w:t> </w:t>
      </w:r>
      <w:r>
        <w:rPr>
          <w:rFonts w:ascii="Calibri"/>
          <w:i/>
          <w:w w:val="90"/>
        </w:rPr>
        <w:t>the</w:t>
      </w:r>
      <w:r>
        <w:rPr>
          <w:rFonts w:ascii="Calibri"/>
          <w:i/>
          <w:spacing w:val="-10"/>
          <w:w w:val="90"/>
        </w:rPr>
        <w:t> </w:t>
      </w:r>
      <w:r>
        <w:rPr>
          <w:rFonts w:ascii="Calibri"/>
          <w:i/>
          <w:w w:val="90"/>
        </w:rPr>
        <w:t>shareholder</w:t>
      </w:r>
      <w:r>
        <w:rPr>
          <w:rFonts w:ascii="Calibri"/>
          <w:i/>
          <w:spacing w:val="-10"/>
          <w:w w:val="90"/>
        </w:rPr>
        <w:t> </w:t>
      </w:r>
      <w:r>
        <w:rPr>
          <w:rFonts w:ascii="Calibri"/>
          <w:i/>
          <w:w w:val="85"/>
        </w:rPr>
        <w:t>&gt;&gt;</w:t>
      </w:r>
      <w:r>
        <w:rPr>
          <w:w w:val="85"/>
        </w:rPr>
        <w:t>.</w:t>
      </w:r>
    </w:p>
    <w:p>
      <w:pPr>
        <w:pStyle w:val="BodyText"/>
        <w:tabs>
          <w:tab w:pos="1656" w:val="left" w:leader="none"/>
        </w:tabs>
        <w:spacing w:before="248"/>
        <w:jc w:val="both"/>
      </w:pPr>
      <w:r>
        <w:rPr/>
        <w:t>For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  <w:spacing w:line="396" w:lineRule="auto"/>
        <w:ind w:right="7261"/>
        <w:rPr>
          <w:sz w:val="24"/>
        </w:rPr>
      </w:pPr>
      <w:r>
        <w:rPr/>
        <w:t>Authorized</w:t>
      </w:r>
      <w:r>
        <w:rPr>
          <w:spacing w:val="-14"/>
        </w:rPr>
        <w:t> </w:t>
      </w:r>
      <w:r>
        <w:rPr/>
        <w:t>Signatory </w:t>
      </w:r>
      <w:r>
        <w:rPr>
          <w:w w:val="90"/>
        </w:rPr>
        <w:t>Name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Designation</w:t>
      </w:r>
      <w:r>
        <w:rPr>
          <w:w w:val="90"/>
          <w:sz w:val="24"/>
        </w:rPr>
        <w:t>:</w:t>
      </w:r>
    </w:p>
    <w:sectPr>
      <w:type w:val="continuous"/>
      <w:pgSz w:w="12240" w:h="15840"/>
      <w:pgMar w:top="17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62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443" w:right="58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2"/>
      <w:ind w:right="58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47"/>
      <w:ind w:left="262"/>
      <w:outlineLvl w:val="3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2026-06-01T08:49:57Z</dcterms:created>
  <dcterms:modified xsi:type="dcterms:W3CDTF">2026-06-01T08:49:57Z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2026-06-01T00:00:00Z</vt:filetime>
  </property>
  <property fmtid="{D5CDD505-2E9C-101B-9397-08002B2CF9AE}" pid="6" name="MSIP_Label_a0819fa7-4367-4500-ba88-dd630d977609_ActionId">
    <vt:lpwstr>c7c9c836-46c9-4223-884c-3edb68dde3c9</vt:lpwstr>
  </property>
  <property fmtid="{D5CDD505-2E9C-101B-9397-08002B2CF9AE}" pid="7" name="MSIP_Label_a0819fa7-4367-4500-ba88-dd630d977609_ContentBits">
    <vt:lpwstr>0</vt:lpwstr>
  </property>
  <property fmtid="{D5CDD505-2E9C-101B-9397-08002B2CF9AE}" pid="8" name="MSIP_Label_a0819fa7-4367-4500-ba88-dd630d977609_Enabled">
    <vt:lpwstr>true</vt:lpwstr>
  </property>
  <property fmtid="{D5CDD505-2E9C-101B-9397-08002B2CF9AE}" pid="9" name="MSIP_Label_a0819fa7-4367-4500-ba88-dd630d977609_Method">
    <vt:lpwstr>Standard</vt:lpwstr>
  </property>
  <property fmtid="{D5CDD505-2E9C-101B-9397-08002B2CF9AE}" pid="10" name="MSIP_Label_a0819fa7-4367-4500-ba88-dd630d977609_SiteId">
    <vt:lpwstr>63ce7d59-2f3e-42cd-a8cc-be764cff5eb6</vt:lpwstr>
  </property>
  <property fmtid="{D5CDD505-2E9C-101B-9397-08002B2CF9AE}" pid="11" name="Producer">
    <vt:lpwstr>Microsoft® Word for Microsoft 365</vt:lpwstr>
  </property>
</Properties>
</file>